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传统的农产品流通领域存在着中介环节多、信息不对称、交易成本高、流通效率低等问题，严重阻碍了我国农产品的市场的发展。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各地均已形成了具有一定规模且有序的农产品交易市场，农村经济也在国家的相关政策影响下，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朝着信息化方向发展，各省及各特色农业经济市、区级单位都建有各自的农业信息网站，</w:t>
      </w:r>
      <w:r>
        <w:rPr>
          <w:rFonts w:hint="eastAsia" w:ascii="仿宋" w:hAnsi="仿宋" w:eastAsia="仿宋" w:cs="仿宋"/>
          <w:sz w:val="24"/>
          <w:szCs w:val="24"/>
        </w:rPr>
        <w:t>但其主要功能停留在获取农业信息、农业政策等基本应用方面，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并没有真正的实现农产品交易的电子商务化。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传统的农产品流通方式交易环节多，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成不断增加，损耗也不断增加。</w:t>
      </w:r>
      <w:r>
        <w:rPr>
          <w:rFonts w:hint="eastAsia" w:ascii="仿宋" w:hAnsi="仿宋" w:eastAsia="仿宋" w:cs="仿宋"/>
          <w:sz w:val="24"/>
          <w:szCs w:val="24"/>
        </w:rPr>
        <w:t>电子交易作为传统经济与网络经济结合的模式，可以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打破传统有形市场地域的限制，充分解决现货商品交易的供应源、客户源、在线结算、物流配送等众多交易难题，</w:t>
      </w:r>
      <w:r>
        <w:rPr>
          <w:rFonts w:hint="eastAsia" w:ascii="仿宋" w:hAnsi="仿宋" w:eastAsia="仿宋" w:cs="仿宋"/>
          <w:sz w:val="24"/>
          <w:szCs w:val="24"/>
        </w:rPr>
        <w:t>有效地促进了产销直接对接，提高了交易效率，真正意义上解决了“农超对接”的核心困难。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294926EB"/>
    <w:rsid w:val="30AF313F"/>
    <w:rsid w:val="3F4818D2"/>
    <w:rsid w:val="526B7F95"/>
    <w:rsid w:val="58B619C4"/>
    <w:rsid w:val="5B26712F"/>
    <w:rsid w:val="60216036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749</Characters>
  <Lines>11</Lines>
  <Paragraphs>3</Paragraphs>
  <TotalTime>25</TotalTime>
  <ScaleCrop>false</ScaleCrop>
  <LinksUpToDate>false</LinksUpToDate>
  <CharactersWithSpaces>1188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2022-05-03T01:37:23Z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6C9957516A9945E5B3AEA6D35A5320D0</vt:lpwstr>
  </property>
</Properties>
</file>